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F19A" w14:textId="77777777" w:rsidR="003B32D5" w:rsidRDefault="003B32D5" w:rsidP="008E76D2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299DB75D" w14:textId="77777777" w:rsidR="00D221E7" w:rsidRPr="00D221E7" w:rsidRDefault="00D221E7" w:rsidP="00D221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2290423B" w14:textId="77777777" w:rsidR="00D221E7" w:rsidRPr="00D221E7" w:rsidRDefault="00D221E7" w:rsidP="00D221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134983F0" w14:textId="0EE90316" w:rsidR="00D221E7" w:rsidRPr="00D221E7" w:rsidRDefault="00D221E7" w:rsidP="00D221E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221E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г.)</w:t>
      </w:r>
    </w:p>
    <w:p w14:paraId="06575200" w14:textId="77777777" w:rsidR="00D221E7" w:rsidRPr="00D221E7" w:rsidRDefault="00D221E7" w:rsidP="00D221E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</w:p>
    <w:p w14:paraId="0B3B3DAD" w14:textId="77777777" w:rsidR="00D221E7" w:rsidRDefault="00D221E7" w:rsidP="00D22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ПОВЫШЕНИЕ КАЧЕСТВА И ДОСТУПНОСТИ ОКАЗАНИЯ МЕДИЦИНСКОЙ ПОМОЩИ НАСЕЛЕНИЮ </w:t>
      </w:r>
    </w:p>
    <w:p w14:paraId="5EF18C3C" w14:textId="7AB9DAA1" w:rsidR="00D221E7" w:rsidRPr="00D221E7" w:rsidRDefault="00D221E7" w:rsidP="00D22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БРЕСТСКОЙ ОБЛАСТИ</w:t>
      </w:r>
    </w:p>
    <w:p w14:paraId="739DC983" w14:textId="77777777" w:rsidR="00D221E7" w:rsidRPr="00D221E7" w:rsidRDefault="00D221E7" w:rsidP="00D221E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14:paraId="44D6398C" w14:textId="77777777" w:rsidR="00D221E7" w:rsidRDefault="00D221E7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01B5506" w14:textId="0E19D8B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2023 году продолжено выполнение Регионального комплекса мероприятий по реализации Государственной программы «Здоровье народа и демографическая безопасность» на 2021-2025 годы (далее – Госпрограмма) и утвержденного решением Брестского областного Совета депутатов 24 мая 2021 года № 256.</w:t>
      </w:r>
    </w:p>
    <w:p w14:paraId="4399A956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Анализ имеющихся демографических показателей за январь-ноябрь 2023 года свидетельствует о снижении показателя смертности населения на 11,3% до 12,4‰ (январь-ноябрь 2022 г. – 13,9‰). Число умерших от всех причин снизилось на 2 003 человека, с 16 875 до 14 872.</w:t>
      </w:r>
    </w:p>
    <w:p w14:paraId="79022B98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Естественная убыль населения сократилась до 4 796 человек или 4,0‰ (январь-ноябрь 2022 г. – 6 152 человека или 5,1‰, за январь-ноябрь 2021 г. – 11 904 человека или 9,7‰, январь-ноябрь 2020 г.  – 6 437 человек или 5,2‰, январь-ноябрь 2019 г. – 2 618 человек или 2,1‰, январь-ноябрь 2018 г. – 1 842 человека или 1,5‰).</w:t>
      </w:r>
    </w:p>
    <w:p w14:paraId="634F60E0" w14:textId="4459EB2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Число родившихся в 2023 году снизилось с 10 723 до 10 076 (на 647 детей или на 6%). Показатель рождаемости составил – 8,4‰ (январь-ноябрь 2022 г. – 8,9‰), что выше среднереспубликанского показателя за</w:t>
      </w:r>
      <w:r w:rsidR="00FC5265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 6 мес. 2023 г. – 7, 1‰.</w:t>
      </w:r>
    </w:p>
    <w:p w14:paraId="7744588C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Среди лиц трудоспособного возраста отмечено снижение   количества смертей на 308 случаев или на 8,6%, с 3 574 до 3 266 человек.</w:t>
      </w:r>
    </w:p>
    <w:p w14:paraId="1405F7A3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Показатель смертности среди трудоспособных сократился и составил 4,8‰ (январь-ноябрь 2022 – 5,2‰, январь-ноябрь 2021 – 6,2‰, январь- ноябрь 2020 г. – 4,9‰, январь-ноябрь 2019 г. – 4,3‰). </w:t>
      </w:r>
    </w:p>
    <w:p w14:paraId="43F9D698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Удельный вес случаев смерти этой категории населения в возрастной структуре возрос до 22% (январь-ноябрь 2022 г. – 21,2%). </w:t>
      </w:r>
    </w:p>
    <w:p w14:paraId="62AA6FC4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За январь - ноябрь 2023 умер 21 ребенок в возрасте до года, показатель младенческой смертности составил 2,02‰, что на 21,4% ниже, чем за аналогичный период 2022 года, когда умерло 29 детей и зафиксирована младенческая смертность на уровне 2,57‰.</w:t>
      </w:r>
    </w:p>
    <w:p w14:paraId="3F8E9748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В возрасте 0-17 лет количество умерших детей снизилось с 58 до 54, детская смертность составила 20,57 на 100 000 (за январь-ноябрь 2022 г. показатель составлял 21,89 </w:t>
      </w:r>
      <w:proofErr w:type="spellStart"/>
      <w:r w:rsidRPr="004479D9">
        <w:rPr>
          <w:rFonts w:ascii="Times New Roman" w:eastAsia="Times New Roman" w:hAnsi="Times New Roman" w:cs="Times New Roman"/>
          <w:sz w:val="30"/>
          <w:szCs w:val="30"/>
        </w:rPr>
        <w:t>просантимилле</w:t>
      </w:r>
      <w:proofErr w:type="spellEnd"/>
      <w:r w:rsidRPr="004479D9">
        <w:rPr>
          <w:rFonts w:ascii="Times New Roman" w:eastAsia="Times New Roman" w:hAnsi="Times New Roman" w:cs="Times New Roman"/>
          <w:sz w:val="30"/>
          <w:szCs w:val="30"/>
        </w:rPr>
        <w:t>).</w:t>
      </w:r>
    </w:p>
    <w:p w14:paraId="5C4E8045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Охват населения работой команд врачей общей практики (далее – ВОП) планировался не менее 75%, по результатам работы за 9 месяцев 2023 года охват составил 95,5%. </w:t>
      </w:r>
    </w:p>
    <w:p w14:paraId="4A9BAC1C" w14:textId="35A1F17F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В Брестской области во внедрении пилотного проекта «Заботливая поликлиника» участвует 3 организации здравоохранения: УЗ «Барановичская центральная поликлиника», УЗ «Брестская городская поликлиника № 2» и поликлиника УЗ «Брестская городская больница </w:t>
      </w:r>
      <w:r w:rsidR="00FC5265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№ 2».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ab/>
      </w:r>
    </w:p>
    <w:p w14:paraId="51268E3B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Проблемными вопросами в реализации проекта «Заботливая поликлиника» является необходимость проведения ремонтно-строительных работ в учреждениях здравоохранения для перепланировки, в том числе строительства новых и модернизации существующих локальных вычислительных сетей (сети имеют плохо организованную структуру, оснащены устаревшим коммуникационным оборудованием, что вызывает нестабильную работу сети при высоких нагрузках). </w:t>
      </w:r>
    </w:p>
    <w:p w14:paraId="4F2B4207" w14:textId="04CDA1D9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Дополнительно проект «Заботливая поликлиника» реализован в г. Бресте на базе введенного в эксплуатацию в декабре 2021 г. медицинского комплекса, который включает в себя взрослую поликлинику </w:t>
      </w:r>
      <w:r w:rsidR="00FC5265">
        <w:rPr>
          <w:rFonts w:ascii="Times New Roman" w:eastAsia="Times New Roman" w:hAnsi="Times New Roman" w:cs="Times New Roman"/>
          <w:sz w:val="30"/>
          <w:szCs w:val="30"/>
        </w:rPr>
        <w:t xml:space="preserve">                 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>(УЗ «Брестская городская поликлиника № 5») на 500 посещений в смену с отделением дневного пребывания на 25 коек; женскую консультацию на 190 посещений в смену и детскую поликлинику (УЗ «Брестская городская детская поликлиника № 3») на 600 посещений в смену, централизованную лабораторию.</w:t>
      </w:r>
    </w:p>
    <w:p w14:paraId="4990E327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настоящее время из-за недостаточного финансирования внедрение проекта «Заботливая поликлиника» в определенных ранее учреждениях здравоохранения приостановлено.</w:t>
      </w:r>
    </w:p>
    <w:p w14:paraId="56673C7D" w14:textId="141A3848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В Брестской области в областных и межрайонных центрах </w:t>
      </w:r>
      <w:bookmarkStart w:id="0" w:name="_Hlk121735466"/>
      <w:r w:rsidRPr="004479D9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4479D9">
        <w:rPr>
          <w:rFonts w:ascii="Times New Roman" w:hAnsi="Times New Roman"/>
          <w:sz w:val="30"/>
          <w:szCs w:val="30"/>
        </w:rPr>
        <w:t>ыросли объемы высокотехнологичной кардиохирургической помощи</w:t>
      </w:r>
      <w:r w:rsidR="000A5309">
        <w:rPr>
          <w:rFonts w:ascii="Times New Roman" w:hAnsi="Times New Roman"/>
          <w:sz w:val="30"/>
          <w:szCs w:val="30"/>
        </w:rPr>
        <w:t>. З</w:t>
      </w:r>
      <w:r>
        <w:rPr>
          <w:rFonts w:ascii="Times New Roman" w:hAnsi="Times New Roman"/>
          <w:sz w:val="30"/>
          <w:szCs w:val="30"/>
        </w:rPr>
        <w:t xml:space="preserve">а истекший период </w:t>
      </w:r>
      <w:r w:rsidRPr="004479D9">
        <w:rPr>
          <w:rFonts w:ascii="Times New Roman" w:hAnsi="Times New Roman"/>
          <w:sz w:val="30"/>
          <w:szCs w:val="30"/>
        </w:rPr>
        <w:t>выполнено 2577 высокотехнологичных и сложных кардиохирургических операций (2022 г. – 2390). Количество интервенционных чрескожных вмешательств на артериях сердца составило 1721 операции или 1308,3 на 1 млн. населения, при контрольном показателе 979,8 на 1 млн. нас. По поводу имплантаций электрокардиостимуляторов и других устройств выполнено 354 оперативных вмешательства или 269,1 на 1 млн. населения, при контрольном показателе 269,0 на 1 млн. нас.</w:t>
      </w:r>
    </w:p>
    <w:p w14:paraId="518861C6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Всего при нарушениях ритма выполнено 395 вмешательств (2022 г. – 378), из них радиочастотных абляций (РЧА) – 31 (2022 г. – 31). </w:t>
      </w:r>
    </w:p>
    <w:p w14:paraId="781BC503" w14:textId="6F3B49DF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Количество оперативных вмешательств на сердце (АКШ, МКШ) несколько снизилось в сравнении с прошлым годом со 131 до 116 операций (при плане 150 на год); число клапанных коррекций составило </w:t>
      </w:r>
      <w:r w:rsidRPr="004479D9">
        <w:rPr>
          <w:rFonts w:ascii="Times New Roman" w:hAnsi="Times New Roman"/>
          <w:sz w:val="30"/>
          <w:szCs w:val="30"/>
        </w:rPr>
        <w:lastRenderedPageBreak/>
        <w:t xml:space="preserve">61 (2022 г. – 40), при годовом плане 80. Контрольный уровень по клапанным коррекциям достигнут, несмотря на перебои в поставках расходных материалов (с марта по июнь отсутствовала полная линейка протезов).  </w:t>
      </w:r>
    </w:p>
    <w:p w14:paraId="5C620D5B" w14:textId="77777777" w:rsidR="00D219CF" w:rsidRPr="004479D9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>Неврологической службой проводится комплекс мероприятий по профилактике цереброваскулярных болезней, формированию потребности в здоровом образе жизни, контролю за динамическим диспансерным наблюдением пациентов с цереброваскулярными болезнями.</w:t>
      </w:r>
      <w:r w:rsidRPr="004479D9">
        <w:rPr>
          <w:rFonts w:ascii="Times New Roman" w:hAnsi="Times New Roman"/>
          <w:sz w:val="30"/>
          <w:szCs w:val="30"/>
        </w:rPr>
        <w:tab/>
      </w:r>
    </w:p>
    <w:bookmarkEnd w:id="0"/>
    <w:p w14:paraId="38A75345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В рамках выполнения мероприятий Государственной программы «Здоровье народа и демографическая безопасность» на 2021-2025 годы в области проводится скрининг рака молочной железы, предстательной железы, </w:t>
      </w:r>
      <w:proofErr w:type="spellStart"/>
      <w:r w:rsidRPr="004479D9">
        <w:rPr>
          <w:rFonts w:ascii="Times New Roman" w:hAnsi="Times New Roman"/>
          <w:sz w:val="30"/>
          <w:szCs w:val="30"/>
        </w:rPr>
        <w:t>колоректального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рака и рака шейки матки. </w:t>
      </w:r>
    </w:p>
    <w:p w14:paraId="06325789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>За 9 месяцев 2023 года при выполнении скрининговой маммографии почти 9 000 женщин, рак молочной железы выявлен у 38, в т.ч. у 35 на ранней стадии.</w:t>
      </w:r>
    </w:p>
    <w:p w14:paraId="5454D199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>В рамках скрининга рака предстательной железы за 9 месяцев 2023 года прошли тест на ПСА 8327 пациентов, рак предстательной железы выявлен у 44 пациентов, у 43 при этом на ранних стадиях.</w:t>
      </w:r>
    </w:p>
    <w:p w14:paraId="54F9C893" w14:textId="5A0166D8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За 9 месяцев 2023 года проведено 514 скрининговых </w:t>
      </w:r>
      <w:proofErr w:type="spellStart"/>
      <w:r w:rsidRPr="004479D9">
        <w:rPr>
          <w:rFonts w:ascii="Times New Roman" w:hAnsi="Times New Roman"/>
          <w:sz w:val="30"/>
          <w:szCs w:val="30"/>
        </w:rPr>
        <w:t>колоноскопий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0A5309">
        <w:rPr>
          <w:rFonts w:ascii="Times New Roman" w:hAnsi="Times New Roman"/>
          <w:sz w:val="30"/>
          <w:szCs w:val="30"/>
        </w:rPr>
        <w:t>к</w:t>
      </w:r>
      <w:r w:rsidRPr="004479D9">
        <w:rPr>
          <w:rFonts w:ascii="Times New Roman" w:hAnsi="Times New Roman"/>
          <w:sz w:val="30"/>
          <w:szCs w:val="30"/>
        </w:rPr>
        <w:t>олоректальный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рак выявлен в 2 случаях, оба в ранней стадии.</w:t>
      </w:r>
    </w:p>
    <w:p w14:paraId="0D90A21F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>Скрининг рака шейки матки проводится в УЗ «Пинская центральная поликлиника» путем тестирования на вирус папилломы человека высокого канцерогенного риска. За 9 месяцев 2023 года обследовано 3134 женщины. У 98 женщин получен положительный ВПЧ-тест, выявлено 7 случаев рака шейки матки, все на ранней стадии.</w:t>
      </w:r>
    </w:p>
    <w:p w14:paraId="00A83643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Всего за 9 месяцев в скрининговых мероприятиях по раку молочной железы, раку предстательной железы, </w:t>
      </w:r>
      <w:proofErr w:type="spellStart"/>
      <w:r w:rsidRPr="004479D9">
        <w:rPr>
          <w:rFonts w:ascii="Times New Roman" w:hAnsi="Times New Roman"/>
          <w:sz w:val="30"/>
          <w:szCs w:val="30"/>
        </w:rPr>
        <w:t>колоректальному</w:t>
      </w:r>
      <w:proofErr w:type="spellEnd"/>
      <w:r w:rsidRPr="004479D9">
        <w:rPr>
          <w:rFonts w:ascii="Times New Roman" w:hAnsi="Times New Roman"/>
          <w:sz w:val="30"/>
          <w:szCs w:val="30"/>
        </w:rPr>
        <w:t xml:space="preserve"> раку и раку шейки матки приняло участие почти 21 тысяча человек - 46% от подлежащих на 2023 год и 58,6% от подлежащих на 9 месяцев 2023 года, выявлен 91 случай рака, в 95 % случаев на ранних стадиях.</w:t>
      </w:r>
    </w:p>
    <w:p w14:paraId="50366841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В рамках реализации мероприятий по ранней диагностике опухолей головы и шеи в области за 9 месяцев 2023 года прошли осмотр почти 400 тысяч человек (90% от подлежащих). </w:t>
      </w:r>
    </w:p>
    <w:p w14:paraId="524A5D21" w14:textId="77777777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479D9">
        <w:rPr>
          <w:rFonts w:ascii="Times New Roman" w:hAnsi="Times New Roman"/>
          <w:sz w:val="30"/>
          <w:szCs w:val="30"/>
        </w:rPr>
        <w:t xml:space="preserve">По результатам осмотра у 3189 пациентов выявлено подозрение на наличие новообразований головы и шеи, 76,5% прошли дообследование. Выявлено 195 случаев рака головы и шеи, в т.ч. 88 в ранней стадии (45,1%).  </w:t>
      </w:r>
    </w:p>
    <w:p w14:paraId="09E3A64A" w14:textId="02D34856" w:rsidR="00D219CF" w:rsidRPr="004479D9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Предложения в организацию и совершенствование нормативно-правовой</w:t>
      </w:r>
      <w:r w:rsidR="000A530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479D9">
        <w:rPr>
          <w:rFonts w:ascii="Times New Roman" w:eastAsia="Times New Roman" w:hAnsi="Times New Roman" w:cs="Times New Roman"/>
          <w:sz w:val="30"/>
          <w:szCs w:val="30"/>
        </w:rPr>
        <w:t>и методической базы системы медицинской аккредитации представляются в Министерство здравоохранения Республики Беларусь по соответствующим запросам.</w:t>
      </w:r>
    </w:p>
    <w:p w14:paraId="7D6F1C8D" w14:textId="3783E713" w:rsidR="00D219CF" w:rsidRPr="004479D9" w:rsidRDefault="00D219CF" w:rsidP="00D219CF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В пилотном проекте по переходу к системе финансирования на основе клинико-затратных групп учреждения здравоохранения Брестской области будут работать с 01.01.2024.</w:t>
      </w:r>
    </w:p>
    <w:p w14:paraId="2AA74BDA" w14:textId="68560FCA" w:rsidR="00D219CF" w:rsidRPr="004479D9" w:rsidRDefault="00D219CF" w:rsidP="00D219CF">
      <w:pPr>
        <w:tabs>
          <w:tab w:val="left" w:pos="709"/>
          <w:tab w:val="left" w:leader="underscore" w:pos="3341"/>
          <w:tab w:val="left" w:leader="underscore" w:pos="842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Pr="004479D9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на 01.12.2023 к системе АИС «Электронный рецепт» подключены 78 организаций. К республиканской системе телемедицинского консультирования подключены 38 организаций. </w:t>
      </w:r>
    </w:p>
    <w:p w14:paraId="30EBE07F" w14:textId="744A3DB9" w:rsidR="00D219CF" w:rsidRPr="00D219CF" w:rsidRDefault="00D219CF" w:rsidP="00D219CF">
      <w:pPr>
        <w:tabs>
          <w:tab w:val="left" w:pos="709"/>
          <w:tab w:val="left" w:leader="underscore" w:pos="3341"/>
          <w:tab w:val="left" w:leader="underscore" w:pos="8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79D9">
        <w:rPr>
          <w:rFonts w:ascii="Times New Roman" w:eastAsia="Times New Roman" w:hAnsi="Times New Roman" w:cs="Times New Roman"/>
          <w:sz w:val="30"/>
          <w:szCs w:val="30"/>
        </w:rPr>
        <w:t>В текущем году реализуемый в рамках профилактической работы комплекс превентивных мер в области позволил нормализовать ситуацию по большинству инфекционных заболеваний, в том числе и по гриппу. В результате обеспечена стабилизация показателей инфекционной и паразитарной заболеваемости.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479D9">
        <w:rPr>
          <w:rFonts w:ascii="Times New Roman" w:hAnsi="Times New Roman"/>
          <w:sz w:val="30"/>
          <w:szCs w:val="30"/>
        </w:rPr>
        <w:t>Возобновлены мероприятия по плановой вакцинации населения.</w:t>
      </w:r>
    </w:p>
    <w:p w14:paraId="64102666" w14:textId="1124829E" w:rsidR="00D219CF" w:rsidRPr="004479D9" w:rsidRDefault="00D219CF" w:rsidP="00D219CF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4479D9">
        <w:rPr>
          <w:rFonts w:ascii="Times New Roman" w:eastAsia="Calibri" w:hAnsi="Times New Roman" w:cs="Times New Roman"/>
          <w:bCs/>
          <w:sz w:val="30"/>
          <w:szCs w:val="30"/>
        </w:rPr>
        <w:t>В 2023 году проекты «Здоровый город (поселок)» реализуются на 27 территориях области. В Проекте задействованы: 16 городов, 1 район, 4 поселка, 5 агрогородков и 1 сельский совет. В 3 квартале 2023 года список расширен за счет проекта «</w:t>
      </w:r>
      <w:proofErr w:type="spellStart"/>
      <w:r w:rsidRPr="004479D9">
        <w:rPr>
          <w:rFonts w:ascii="Times New Roman" w:eastAsia="Calibri" w:hAnsi="Times New Roman" w:cs="Times New Roman"/>
          <w:bCs/>
          <w:sz w:val="30"/>
          <w:szCs w:val="30"/>
        </w:rPr>
        <w:t>Жеребковичи</w:t>
      </w:r>
      <w:proofErr w:type="spellEnd"/>
      <w:r w:rsidRPr="004479D9">
        <w:rPr>
          <w:rFonts w:ascii="Times New Roman" w:eastAsia="Calibri" w:hAnsi="Times New Roman" w:cs="Times New Roman"/>
          <w:bCs/>
          <w:sz w:val="30"/>
          <w:szCs w:val="30"/>
        </w:rPr>
        <w:t xml:space="preserve"> – здоровый агрогородок» Ляховичского района (решение Ляховичского РИК №1133 от 05.09.2023).</w:t>
      </w:r>
    </w:p>
    <w:p w14:paraId="5A9E1515" w14:textId="3A9AF83E"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Наиболее успешно проект «Здоровый город (поселок)» по основным направлениям реализуется в </w:t>
      </w:r>
      <w:r w:rsidR="000A5309">
        <w:rPr>
          <w:rFonts w:ascii="Times New Roman" w:hAnsi="Times New Roman" w:cs="Times New Roman"/>
          <w:sz w:val="30"/>
          <w:szCs w:val="30"/>
        </w:rPr>
        <w:t>городах</w:t>
      </w:r>
      <w:r w:rsidRPr="004479D9">
        <w:rPr>
          <w:rFonts w:ascii="Times New Roman" w:hAnsi="Times New Roman" w:cs="Times New Roman"/>
          <w:sz w:val="30"/>
          <w:szCs w:val="30"/>
        </w:rPr>
        <w:t xml:space="preserve"> Пинск, Ивацевичи, Брест, Барановичи, Пружаны, Дрогичин, Лунинец, Ляховичи, Иваново, Столин, в Кобринском районе; в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Чернавчицком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сельском Совете, в а/г.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Оснежицы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(Пинский р-н),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>. Городище (Барановичский р-н), а/г Мотоль (Ивановский район), г. Микашевичи (Лунинецкий район), пос. Речица (Столинский район).</w:t>
      </w:r>
    </w:p>
    <w:p w14:paraId="7D9BB465" w14:textId="77777777" w:rsidR="00D219CF" w:rsidRPr="004479D9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>В целом по области информационно-образовательный проект «Школа – территория здоровья» реализуется на базе 462 (97,9%) учреждений общего среднего образования из 472, который охватывает 170 694 учеников из 173 485 (98,4%).</w:t>
      </w:r>
    </w:p>
    <w:p w14:paraId="59648ADD" w14:textId="319E5DCF" w:rsidR="00D219CF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В области реализуются 7 областных профилактических проектов:     4 на базе учреждений общего среднего образования («Мой выбор – жить с позитивом!», «Правильная осанка – залог здоровья!», «Школьное питание – здоровое и рациональное!», «Мы - за здоровый и безопасный отдых!»). 1 проект в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ССУЗах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и УПО «В защиту жизни!». </w:t>
      </w:r>
    </w:p>
    <w:p w14:paraId="01302A03" w14:textId="3ABDC2C8" w:rsidR="00D219CF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2 проекта на предприятиях («Здоровое сердце – залог успеха!» и «Предотврати болезнь – выбери жизнь!»). </w:t>
      </w:r>
    </w:p>
    <w:p w14:paraId="2FC873E2" w14:textId="77777777"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Реализуются 2 проекта на базе Брестского областного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ЦГЭиОЗ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>:</w:t>
      </w:r>
    </w:p>
    <w:p w14:paraId="381260D2" w14:textId="3DF8E98C" w:rsidR="00D219CF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«Центр наглядной профилактики» по профилактике потребления ПАВ для учащихся УО области; областная олимпиада по ЗОЖ (21 апреля 2023 года). </w:t>
      </w:r>
    </w:p>
    <w:p w14:paraId="341934B7" w14:textId="4A988FBB"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>Реализуются 2 республиканских проекта: «Школа – территория здоровья», «Здоровые города и поселки».</w:t>
      </w:r>
    </w:p>
    <w:p w14:paraId="46081929" w14:textId="77777777" w:rsidR="00D219CF" w:rsidRPr="004479D9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lastRenderedPageBreak/>
        <w:t xml:space="preserve">В рамках реализации межведомственного профилактического проекта «Здоровое сердце – залог успеха!» для работников организаций и предприятий Брестской области за истекший период  2023 года проведены 432 мероприятия, в которых приняли участие 63904 человек. Определен уровень артериального давления (АД) 62203 участникам мероприятий. Выявлено 11 908 человек (19,1%) с повышенным АД, из них 1306 - с впервые выявленным.  Оказана неотложная помощь 1 321 участнику мероприятий. </w:t>
      </w:r>
    </w:p>
    <w:p w14:paraId="3FBA1B14" w14:textId="77777777" w:rsidR="00D219CF" w:rsidRPr="004479D9" w:rsidRDefault="00D219CF" w:rsidP="00BF5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79D9">
        <w:rPr>
          <w:rFonts w:ascii="Times New Roman" w:hAnsi="Times New Roman" w:cs="Times New Roman"/>
          <w:sz w:val="30"/>
          <w:szCs w:val="30"/>
        </w:rPr>
        <w:t xml:space="preserve">Всего специалистами проведено 13259 консультаций, в том числе кардиологом – 1937, терапевтом – 10183, офтальмологом – 1920 и неврологом – 2173. Проведены диагностические исследования: ЭКГ - 30252, определение показателей липидного обмена – 9727, УЗИ сердца – 1458, а также 18890 определений уровня глюкозы в крови и </w:t>
      </w:r>
      <w:proofErr w:type="spellStart"/>
      <w:r w:rsidRPr="004479D9">
        <w:rPr>
          <w:rFonts w:ascii="Times New Roman" w:hAnsi="Times New Roman" w:cs="Times New Roman"/>
          <w:sz w:val="30"/>
          <w:szCs w:val="30"/>
        </w:rPr>
        <w:t>гликированного</w:t>
      </w:r>
      <w:proofErr w:type="spellEnd"/>
      <w:r w:rsidRPr="004479D9">
        <w:rPr>
          <w:rFonts w:ascii="Times New Roman" w:hAnsi="Times New Roman" w:cs="Times New Roman"/>
          <w:sz w:val="30"/>
          <w:szCs w:val="30"/>
        </w:rPr>
        <w:t xml:space="preserve"> гемоглобина. По результатам консультативно-диагностической работы 1 464 человека или 2,3% от участников мероприятий направлены для дальнейшего обследования.</w:t>
      </w:r>
    </w:p>
    <w:p w14:paraId="11F1F2CC" w14:textId="470548F3" w:rsidR="00D219CF" w:rsidRDefault="00D219CF" w:rsidP="00D219CF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ED292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Наличие необходимых лекарственных средств и контроль за необоснованным ростом цен на них.</w:t>
      </w:r>
    </w:p>
    <w:p w14:paraId="184EE1BA" w14:textId="507D0630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Состояние лекарственного обеспечения</w:t>
      </w:r>
      <w:r w:rsidRPr="009652F2">
        <w:rPr>
          <w:rFonts w:ascii="Times New Roman" w:eastAsia="Times New Roman" w:hAnsi="Times New Roman" w:cs="Times New Roman"/>
          <w:i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находится на постоянном контроле у руководства предприятия. На Брестском областном аптечном складе и в аптеках области имеются в наличии </w:t>
      </w:r>
      <w:r w:rsidRPr="009652F2"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  <w:t xml:space="preserve">лекарственные препараты в пределах всех фармакотерапевтических групп, что позволяет обеспечивать лечебный процесс в необходимом объеме.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Неснижаемый запас составляет 2-3-х месячную потребность, по   отдельным позициям</w:t>
      </w:r>
      <w:r w:rsidRPr="009652F2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до 12 месяцев.  Ассортимент лекарственных препаратов в сети поддерживается на протяжении года на уровне   4 000 наименований, в том числе отечественного производства - 1800 наименований. Одномоментно в обороте находится 7,0 - 8,0 млн. упаковок лекарственных средств, в том числе около 5,0 млн. упаковок отечественного производства (65% - 70%) и около 2,5 млн. упаковок импортного производства (30% - 35%).</w:t>
      </w:r>
    </w:p>
    <w:p w14:paraId="253665A1" w14:textId="034D1E65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Вопросы ценообразования на лекарственные средства находятся на постоянном контроле в органах государственного управления, а также непосредственно у руководителя предприятия.</w:t>
      </w:r>
    </w:p>
    <w:p w14:paraId="32E588C9" w14:textId="408B66A9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Министерством антимонопольного регулирования и торговли Республики Беларусь, Министерством здравоохранения Республики Беларусь проводятся мониторинги цен на лекарственные средства в аптеках государственной и негосударственной формы собственности.</w:t>
      </w:r>
    </w:p>
    <w:p w14:paraId="2ABD62CF" w14:textId="67633BBF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В Брестском РУП «Фармация» цены формируются  централизованно. Аптеки предприятия получают лекарственные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lastRenderedPageBreak/>
        <w:t>препараты с Брестского областного аптечного склада со  сформированными  розничными ценами.</w:t>
      </w:r>
    </w:p>
    <w:p w14:paraId="3E84663B" w14:textId="59CED073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В Республике Беларусь лекарственные средства относятся к группе товаров, в отношении которых действует единый порядок формирования цен, установленный для всех субъектов хозяйствования, осуществляющих фармацевтическую деятельность, Указом Президента Республики Беларусь от 11.08.2005 года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366 «О формировании цен на лекарственные средства, изделия медицинского назначения и медицинскую технику» (далее – Указ 366).</w:t>
      </w:r>
    </w:p>
    <w:p w14:paraId="7852C6C3" w14:textId="500765B9" w:rsidR="009652F2" w:rsidRPr="009652F2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Согласно Указу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366 формирование розничных цен на лекарственные средства осуществляется путем применения дифференцированных надбавок (размер которых не должен превышать установленного Указом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366 предельного уровня) к расчетной отпускной  цене первого импортера. Расчетная отпускная цена на импортные лекарственные средства формируется исходя из контрактной цены, пересчитанной в белорусские рубли по официальному курсу Национального банка Республики Беларусь, с учетом таможенных платежей, транспортных расходов, налога на добавленную стоимость в соответствии с законодательством. Значительное влияние на цену импортного лекарственного средства оказывает контрактная цена производителя, изменение курса белорусского рубля по отношению к курсу иностранных валют. </w:t>
      </w:r>
    </w:p>
    <w:p w14:paraId="1AA0252C" w14:textId="715D884C" w:rsidR="009652F2" w:rsidRPr="009652F2" w:rsidRDefault="009652F2" w:rsidP="009652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ab/>
        <w:t>При формировании цен на лекарственные препараты, которые включены в перечень, определенный постановлением Советом Министров Республики Беларусь от 31 октября 2018 года №</w:t>
      </w:r>
      <w:r w:rsidR="000A5309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776 «О регистрации предельных отпускных цен производителей на лекарственные средства» </w:t>
      </w:r>
      <w:r w:rsidR="00143997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 </w:t>
      </w: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(с учетом изменений и дополнений) учитываются зарегистрированные предельные отпускные цены производителей лекарственных препаратов. </w:t>
      </w:r>
    </w:p>
    <w:p w14:paraId="24C3EC34" w14:textId="79A70667" w:rsidR="0017452B" w:rsidRPr="00ED2926" w:rsidRDefault="009652F2" w:rsidP="009652F2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652F2">
        <w:rPr>
          <w:rFonts w:ascii="Times New Roman" w:eastAsia="Times New Roman" w:hAnsi="Times New Roman" w:cs="Times New Roman"/>
          <w:sz w:val="30"/>
          <w:szCs w:val="30"/>
          <w:lang w:eastAsia="zh-CN"/>
        </w:rPr>
        <w:t>Действующая ценовая политика предприятия предусматривает меры по снижению ценовой нагрузки в розничном звене. Так, при формировании розничных цен не применяются максимально разрешенные торговые надбавки. Также, в аптеках предприятия реализуются скидочные программы для населения.</w:t>
      </w:r>
    </w:p>
    <w:sectPr w:rsidR="0017452B" w:rsidRPr="00ED2926" w:rsidSect="00D221E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9BA6" w14:textId="77777777" w:rsidR="00B92C14" w:rsidRDefault="00B92C14" w:rsidP="00E26593">
      <w:pPr>
        <w:spacing w:after="0" w:line="240" w:lineRule="auto"/>
      </w:pPr>
      <w:r>
        <w:separator/>
      </w:r>
    </w:p>
  </w:endnote>
  <w:endnote w:type="continuationSeparator" w:id="0">
    <w:p w14:paraId="7A7F3446" w14:textId="77777777" w:rsidR="00B92C14" w:rsidRDefault="00B92C14" w:rsidP="00E2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400C" w14:textId="77777777" w:rsidR="00B92C14" w:rsidRDefault="00B92C14" w:rsidP="00E26593">
      <w:pPr>
        <w:spacing w:after="0" w:line="240" w:lineRule="auto"/>
      </w:pPr>
      <w:r>
        <w:separator/>
      </w:r>
    </w:p>
  </w:footnote>
  <w:footnote w:type="continuationSeparator" w:id="0">
    <w:p w14:paraId="761C68B9" w14:textId="77777777" w:rsidR="00B92C14" w:rsidRDefault="00B92C14" w:rsidP="00E2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213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2624206" w14:textId="77777777" w:rsidR="00E26593" w:rsidRPr="00D221E7" w:rsidRDefault="00E2659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221E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221E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221E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221E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221E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E8BB06D" w14:textId="77777777" w:rsidR="00E26593" w:rsidRDefault="00E265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2E0C"/>
    <w:multiLevelType w:val="hybridMultilevel"/>
    <w:tmpl w:val="5B787DE6"/>
    <w:lvl w:ilvl="0" w:tplc="4B52F026">
      <w:start w:val="1"/>
      <w:numFmt w:val="bullet"/>
      <w:lvlText w:val="-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D2"/>
    <w:rsid w:val="00002596"/>
    <w:rsid w:val="00002773"/>
    <w:rsid w:val="0000672E"/>
    <w:rsid w:val="00015898"/>
    <w:rsid w:val="00024DDD"/>
    <w:rsid w:val="00033859"/>
    <w:rsid w:val="00054875"/>
    <w:rsid w:val="000A5309"/>
    <w:rsid w:val="000A7F6D"/>
    <w:rsid w:val="000B2FDB"/>
    <w:rsid w:val="000E0CEE"/>
    <w:rsid w:val="000E3D77"/>
    <w:rsid w:val="000E6E72"/>
    <w:rsid w:val="000E79F8"/>
    <w:rsid w:val="000F2AA5"/>
    <w:rsid w:val="00101F55"/>
    <w:rsid w:val="00143997"/>
    <w:rsid w:val="0014407A"/>
    <w:rsid w:val="00155BEA"/>
    <w:rsid w:val="001719FC"/>
    <w:rsid w:val="0017452B"/>
    <w:rsid w:val="0018170A"/>
    <w:rsid w:val="00184BCA"/>
    <w:rsid w:val="001A2701"/>
    <w:rsid w:val="001B2D0A"/>
    <w:rsid w:val="001C45C9"/>
    <w:rsid w:val="001D5564"/>
    <w:rsid w:val="001F5BE2"/>
    <w:rsid w:val="002167E5"/>
    <w:rsid w:val="00235A24"/>
    <w:rsid w:val="002650EE"/>
    <w:rsid w:val="00274ABF"/>
    <w:rsid w:val="0029261A"/>
    <w:rsid w:val="002A1F30"/>
    <w:rsid w:val="002A4F43"/>
    <w:rsid w:val="002B5451"/>
    <w:rsid w:val="002C151A"/>
    <w:rsid w:val="002E57C4"/>
    <w:rsid w:val="002F0E99"/>
    <w:rsid w:val="002F60C4"/>
    <w:rsid w:val="0033571D"/>
    <w:rsid w:val="00357595"/>
    <w:rsid w:val="003A24AC"/>
    <w:rsid w:val="003A50A7"/>
    <w:rsid w:val="003B036F"/>
    <w:rsid w:val="003B32D5"/>
    <w:rsid w:val="003C495E"/>
    <w:rsid w:val="003D5806"/>
    <w:rsid w:val="003F43E8"/>
    <w:rsid w:val="0040482D"/>
    <w:rsid w:val="00405EB5"/>
    <w:rsid w:val="0041300B"/>
    <w:rsid w:val="004149F1"/>
    <w:rsid w:val="00421865"/>
    <w:rsid w:val="00434BC5"/>
    <w:rsid w:val="00447B4D"/>
    <w:rsid w:val="00462F86"/>
    <w:rsid w:val="0046768F"/>
    <w:rsid w:val="004803CD"/>
    <w:rsid w:val="00482A2C"/>
    <w:rsid w:val="004B1B3D"/>
    <w:rsid w:val="004C16DE"/>
    <w:rsid w:val="004C2280"/>
    <w:rsid w:val="004E16D7"/>
    <w:rsid w:val="0050141C"/>
    <w:rsid w:val="00503214"/>
    <w:rsid w:val="00503D17"/>
    <w:rsid w:val="005218D0"/>
    <w:rsid w:val="00532A03"/>
    <w:rsid w:val="00540CFF"/>
    <w:rsid w:val="00543AD4"/>
    <w:rsid w:val="005504C6"/>
    <w:rsid w:val="0055156B"/>
    <w:rsid w:val="005665ED"/>
    <w:rsid w:val="0057386B"/>
    <w:rsid w:val="00573F59"/>
    <w:rsid w:val="00590377"/>
    <w:rsid w:val="005A4ADC"/>
    <w:rsid w:val="005A552F"/>
    <w:rsid w:val="005C2DAB"/>
    <w:rsid w:val="005C7E25"/>
    <w:rsid w:val="006226BD"/>
    <w:rsid w:val="006245DA"/>
    <w:rsid w:val="00627112"/>
    <w:rsid w:val="0063227A"/>
    <w:rsid w:val="00644A51"/>
    <w:rsid w:val="00660F07"/>
    <w:rsid w:val="00665336"/>
    <w:rsid w:val="00677227"/>
    <w:rsid w:val="0069707C"/>
    <w:rsid w:val="006A378E"/>
    <w:rsid w:val="0071216A"/>
    <w:rsid w:val="00723579"/>
    <w:rsid w:val="0073270A"/>
    <w:rsid w:val="00736C19"/>
    <w:rsid w:val="0077604F"/>
    <w:rsid w:val="007979BA"/>
    <w:rsid w:val="007A5351"/>
    <w:rsid w:val="007A735B"/>
    <w:rsid w:val="007B3230"/>
    <w:rsid w:val="007B66B5"/>
    <w:rsid w:val="007C0718"/>
    <w:rsid w:val="007E771B"/>
    <w:rsid w:val="007F1C96"/>
    <w:rsid w:val="00804536"/>
    <w:rsid w:val="008079FE"/>
    <w:rsid w:val="008204B3"/>
    <w:rsid w:val="00826103"/>
    <w:rsid w:val="0085276D"/>
    <w:rsid w:val="008C6EA6"/>
    <w:rsid w:val="008C700E"/>
    <w:rsid w:val="008E01F8"/>
    <w:rsid w:val="008E76D2"/>
    <w:rsid w:val="008F57B0"/>
    <w:rsid w:val="0091045C"/>
    <w:rsid w:val="009375A8"/>
    <w:rsid w:val="0093771C"/>
    <w:rsid w:val="009527EF"/>
    <w:rsid w:val="009652F2"/>
    <w:rsid w:val="009729EF"/>
    <w:rsid w:val="009B6000"/>
    <w:rsid w:val="009C46A9"/>
    <w:rsid w:val="009D59DA"/>
    <w:rsid w:val="009D7E06"/>
    <w:rsid w:val="009F2C8D"/>
    <w:rsid w:val="009F4A55"/>
    <w:rsid w:val="00A1698E"/>
    <w:rsid w:val="00A17E69"/>
    <w:rsid w:val="00A21186"/>
    <w:rsid w:val="00A27494"/>
    <w:rsid w:val="00A2782F"/>
    <w:rsid w:val="00A47899"/>
    <w:rsid w:val="00A77093"/>
    <w:rsid w:val="00AA0CB2"/>
    <w:rsid w:val="00AC362B"/>
    <w:rsid w:val="00AE57FF"/>
    <w:rsid w:val="00AF7F33"/>
    <w:rsid w:val="00B11CB2"/>
    <w:rsid w:val="00B202E6"/>
    <w:rsid w:val="00B446F7"/>
    <w:rsid w:val="00B5006C"/>
    <w:rsid w:val="00B92C14"/>
    <w:rsid w:val="00B94206"/>
    <w:rsid w:val="00BC5CE7"/>
    <w:rsid w:val="00BF50A1"/>
    <w:rsid w:val="00BF5205"/>
    <w:rsid w:val="00C01EDC"/>
    <w:rsid w:val="00C06DE6"/>
    <w:rsid w:val="00C25A66"/>
    <w:rsid w:val="00C37858"/>
    <w:rsid w:val="00C475EE"/>
    <w:rsid w:val="00C56602"/>
    <w:rsid w:val="00C6070A"/>
    <w:rsid w:val="00C74289"/>
    <w:rsid w:val="00C74818"/>
    <w:rsid w:val="00C82076"/>
    <w:rsid w:val="00C94C65"/>
    <w:rsid w:val="00CB2F58"/>
    <w:rsid w:val="00D058BC"/>
    <w:rsid w:val="00D20557"/>
    <w:rsid w:val="00D219CF"/>
    <w:rsid w:val="00D221E7"/>
    <w:rsid w:val="00D30257"/>
    <w:rsid w:val="00D32397"/>
    <w:rsid w:val="00D343B6"/>
    <w:rsid w:val="00D579BA"/>
    <w:rsid w:val="00DA4562"/>
    <w:rsid w:val="00DB4297"/>
    <w:rsid w:val="00DC03C9"/>
    <w:rsid w:val="00DC1D74"/>
    <w:rsid w:val="00DF5E93"/>
    <w:rsid w:val="00E04881"/>
    <w:rsid w:val="00E2023B"/>
    <w:rsid w:val="00E26593"/>
    <w:rsid w:val="00E26B0B"/>
    <w:rsid w:val="00E5455C"/>
    <w:rsid w:val="00EC4CED"/>
    <w:rsid w:val="00ED2926"/>
    <w:rsid w:val="00EF0AB8"/>
    <w:rsid w:val="00F01640"/>
    <w:rsid w:val="00F10806"/>
    <w:rsid w:val="00F113A8"/>
    <w:rsid w:val="00F24856"/>
    <w:rsid w:val="00F4266E"/>
    <w:rsid w:val="00F564EA"/>
    <w:rsid w:val="00F868C0"/>
    <w:rsid w:val="00F9108E"/>
    <w:rsid w:val="00FB1D78"/>
    <w:rsid w:val="00FC5265"/>
    <w:rsid w:val="00FF1E3B"/>
    <w:rsid w:val="00FF498F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5454"/>
  <w15:docId w15:val="{CB16E4B1-1114-41FB-B3F2-D1F377AE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76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E76D2"/>
  </w:style>
  <w:style w:type="paragraph" w:styleId="a5">
    <w:name w:val="Balloon Text"/>
    <w:basedOn w:val="a"/>
    <w:link w:val="a6"/>
    <w:uiPriority w:val="99"/>
    <w:semiHidden/>
    <w:unhideWhenUsed/>
    <w:rsid w:val="0027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ABF"/>
    <w:rPr>
      <w:rFonts w:ascii="Tahoma" w:hAnsi="Tahoma" w:cs="Tahoma"/>
      <w:sz w:val="16"/>
      <w:szCs w:val="16"/>
    </w:rPr>
  </w:style>
  <w:style w:type="paragraph" w:customStyle="1" w:styleId="split-by-words">
    <w:name w:val="split-by-words"/>
    <w:basedOn w:val="a"/>
    <w:rsid w:val="0023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5A24"/>
  </w:style>
  <w:style w:type="character" w:customStyle="1" w:styleId="fake-non-breaking-space">
    <w:name w:val="fake-non-breaking-space"/>
    <w:basedOn w:val="a0"/>
    <w:rsid w:val="00235A24"/>
  </w:style>
  <w:style w:type="paragraph" w:styleId="a7">
    <w:name w:val="header"/>
    <w:basedOn w:val="a"/>
    <w:link w:val="a8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593"/>
  </w:style>
  <w:style w:type="paragraph" w:styleId="a9">
    <w:name w:val="footer"/>
    <w:basedOn w:val="a"/>
    <w:link w:val="aa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5C22-B534-47A0-A021-03CA55EC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М. Бобрук</dc:creator>
  <cp:lastModifiedBy>User</cp:lastModifiedBy>
  <cp:revision>2</cp:revision>
  <cp:lastPrinted>2023-12-22T08:16:00Z</cp:lastPrinted>
  <dcterms:created xsi:type="dcterms:W3CDTF">2024-01-11T06:06:00Z</dcterms:created>
  <dcterms:modified xsi:type="dcterms:W3CDTF">2024-01-11T06:06:00Z</dcterms:modified>
</cp:coreProperties>
</file>